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7B5" w:rsidRDefault="002F57B5" w:rsidP="002F57B5">
      <w:pPr>
        <w:spacing w:after="0" w:line="480" w:lineRule="auto"/>
        <w:jc w:val="center"/>
      </w:pPr>
      <w:bookmarkStart w:id="0" w:name="_GoBack"/>
      <w:bookmarkEnd w:id="0"/>
    </w:p>
    <w:p w:rsidR="002F57B5" w:rsidRDefault="002F57B5" w:rsidP="002F57B5">
      <w:pPr>
        <w:spacing w:after="0" w:line="480" w:lineRule="auto"/>
        <w:jc w:val="center"/>
      </w:pPr>
    </w:p>
    <w:p w:rsidR="002F57B5" w:rsidRDefault="002F57B5" w:rsidP="002F57B5">
      <w:pPr>
        <w:spacing w:after="0" w:line="480" w:lineRule="auto"/>
        <w:jc w:val="center"/>
      </w:pPr>
    </w:p>
    <w:p w:rsidR="002F57B5" w:rsidRDefault="002F57B5" w:rsidP="002F57B5">
      <w:pPr>
        <w:spacing w:after="0" w:line="480" w:lineRule="auto"/>
        <w:jc w:val="center"/>
      </w:pPr>
    </w:p>
    <w:p w:rsidR="002F57B5" w:rsidRDefault="002F57B5" w:rsidP="002F57B5">
      <w:pPr>
        <w:spacing w:after="0" w:line="480" w:lineRule="auto"/>
        <w:jc w:val="center"/>
      </w:pPr>
    </w:p>
    <w:p w:rsidR="002F57B5" w:rsidRDefault="002F57B5" w:rsidP="002F57B5">
      <w:pPr>
        <w:spacing w:after="0" w:line="480" w:lineRule="auto"/>
        <w:jc w:val="center"/>
      </w:pPr>
    </w:p>
    <w:p w:rsidR="002F57B5" w:rsidRDefault="002F57B5" w:rsidP="002F57B5">
      <w:pPr>
        <w:spacing w:after="0" w:line="480" w:lineRule="auto"/>
        <w:jc w:val="center"/>
      </w:pPr>
    </w:p>
    <w:p w:rsidR="002F57B5" w:rsidRDefault="002F57B5" w:rsidP="002F57B5">
      <w:pPr>
        <w:spacing w:after="0" w:line="480" w:lineRule="auto"/>
        <w:jc w:val="center"/>
      </w:pPr>
    </w:p>
    <w:p w:rsidR="002F57B5" w:rsidRDefault="002F57B5" w:rsidP="002F57B5">
      <w:pPr>
        <w:spacing w:after="0" w:line="480" w:lineRule="auto"/>
        <w:jc w:val="center"/>
      </w:pPr>
    </w:p>
    <w:p w:rsidR="002F57B5" w:rsidRDefault="002F57B5" w:rsidP="002F57B5">
      <w:pPr>
        <w:spacing w:after="0" w:line="480" w:lineRule="auto"/>
        <w:jc w:val="center"/>
      </w:pPr>
    </w:p>
    <w:p w:rsidR="002F57B5" w:rsidRDefault="002F57B5" w:rsidP="002F57B5">
      <w:pPr>
        <w:spacing w:after="0" w:line="480" w:lineRule="auto"/>
        <w:jc w:val="center"/>
      </w:pPr>
    </w:p>
    <w:p w:rsidR="002F57B5" w:rsidRPr="00390F6D" w:rsidRDefault="002F57B5" w:rsidP="002F57B5">
      <w:pPr>
        <w:spacing w:after="0" w:line="480" w:lineRule="auto"/>
        <w:jc w:val="center"/>
      </w:pPr>
      <w:r>
        <w:t>UBPR One American Bank</w:t>
      </w:r>
    </w:p>
    <w:p w:rsidR="002F57B5" w:rsidRDefault="002F57B5" w:rsidP="00390F6D">
      <w:pPr>
        <w:spacing w:after="0" w:line="480" w:lineRule="auto"/>
        <w:jc w:val="center"/>
      </w:pPr>
      <w:r>
        <w:t>Name</w:t>
      </w:r>
    </w:p>
    <w:p w:rsidR="002F57B5" w:rsidRDefault="002F57B5" w:rsidP="00390F6D">
      <w:pPr>
        <w:spacing w:after="0" w:line="480" w:lineRule="auto"/>
        <w:jc w:val="center"/>
      </w:pPr>
      <w:r>
        <w:t>Institution</w:t>
      </w:r>
    </w:p>
    <w:p w:rsidR="002F57B5" w:rsidRDefault="002F57B5">
      <w:r>
        <w:br w:type="page"/>
      </w:r>
    </w:p>
    <w:p w:rsidR="00390F6D" w:rsidRPr="00390F6D" w:rsidRDefault="00390F6D" w:rsidP="00390F6D">
      <w:pPr>
        <w:spacing w:after="0" w:line="480" w:lineRule="auto"/>
        <w:jc w:val="center"/>
      </w:pPr>
      <w:r>
        <w:lastRenderedPageBreak/>
        <w:t>UBPR One American Bank</w:t>
      </w:r>
    </w:p>
    <w:p w:rsidR="005A7345" w:rsidRPr="00B23341" w:rsidRDefault="005A7345" w:rsidP="00390F6D">
      <w:pPr>
        <w:spacing w:after="0" w:line="480" w:lineRule="auto"/>
        <w:rPr>
          <w:b/>
        </w:rPr>
      </w:pPr>
      <w:r w:rsidRPr="00B23341">
        <w:rPr>
          <w:b/>
        </w:rPr>
        <w:t>Question 1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755"/>
        <w:gridCol w:w="1800"/>
        <w:gridCol w:w="1795"/>
      </w:tblGrid>
      <w:tr w:rsidR="00DD293F" w:rsidTr="005B797D">
        <w:tc>
          <w:tcPr>
            <w:tcW w:w="5755" w:type="dxa"/>
          </w:tcPr>
          <w:p w:rsidR="00DD293F" w:rsidRPr="005B797D" w:rsidRDefault="00DD293F" w:rsidP="005A7345">
            <w:pPr>
              <w:rPr>
                <w:b/>
              </w:rPr>
            </w:pPr>
            <w:r w:rsidRPr="005B797D">
              <w:rPr>
                <w:b/>
              </w:rPr>
              <w:t>Description</w:t>
            </w:r>
          </w:p>
        </w:tc>
        <w:tc>
          <w:tcPr>
            <w:tcW w:w="1800" w:type="dxa"/>
          </w:tcPr>
          <w:p w:rsidR="00DD293F" w:rsidRPr="005B797D" w:rsidRDefault="00DD293F" w:rsidP="005A7345">
            <w:pPr>
              <w:rPr>
                <w:b/>
              </w:rPr>
            </w:pPr>
            <w:r w:rsidRPr="005B797D">
              <w:rPr>
                <w:b/>
              </w:rPr>
              <w:t>2017</w:t>
            </w:r>
          </w:p>
        </w:tc>
        <w:tc>
          <w:tcPr>
            <w:tcW w:w="1795" w:type="dxa"/>
          </w:tcPr>
          <w:p w:rsidR="00DD293F" w:rsidRPr="005B797D" w:rsidRDefault="00DD293F" w:rsidP="005A7345">
            <w:pPr>
              <w:rPr>
                <w:b/>
              </w:rPr>
            </w:pPr>
            <w:r w:rsidRPr="005B797D">
              <w:rPr>
                <w:b/>
              </w:rPr>
              <w:t>2016</w:t>
            </w:r>
          </w:p>
        </w:tc>
      </w:tr>
      <w:tr w:rsidR="00DD293F" w:rsidTr="005B797D">
        <w:tc>
          <w:tcPr>
            <w:tcW w:w="5755" w:type="dxa"/>
          </w:tcPr>
          <w:p w:rsidR="00DD293F" w:rsidRDefault="00DD293F" w:rsidP="005A7345">
            <w:r>
              <w:t>Invest</w:t>
            </w:r>
            <w:r w:rsidR="005B797D">
              <w:t>ments as a percentage of total assets</w:t>
            </w:r>
          </w:p>
        </w:tc>
        <w:tc>
          <w:tcPr>
            <w:tcW w:w="1800" w:type="dxa"/>
          </w:tcPr>
          <w:p w:rsidR="00DD293F" w:rsidRDefault="008D4BB4" w:rsidP="005A7345">
            <w:r>
              <w:t>12.52%</w:t>
            </w:r>
          </w:p>
        </w:tc>
        <w:tc>
          <w:tcPr>
            <w:tcW w:w="1795" w:type="dxa"/>
          </w:tcPr>
          <w:p w:rsidR="00DD293F" w:rsidRDefault="008D4BB4" w:rsidP="005A7345">
            <w:r>
              <w:t>5.59%</w:t>
            </w:r>
          </w:p>
        </w:tc>
      </w:tr>
      <w:tr w:rsidR="00DD293F" w:rsidTr="005B797D">
        <w:tc>
          <w:tcPr>
            <w:tcW w:w="5755" w:type="dxa"/>
          </w:tcPr>
          <w:p w:rsidR="00DD293F" w:rsidRDefault="005B797D" w:rsidP="005A7345">
            <w:r>
              <w:t>Cash as a percent of total assets</w:t>
            </w:r>
          </w:p>
        </w:tc>
        <w:tc>
          <w:tcPr>
            <w:tcW w:w="1800" w:type="dxa"/>
          </w:tcPr>
          <w:p w:rsidR="00DD293F" w:rsidRDefault="008D4BB4" w:rsidP="005A7345">
            <w:r>
              <w:t>4.37%</w:t>
            </w:r>
          </w:p>
        </w:tc>
        <w:tc>
          <w:tcPr>
            <w:tcW w:w="1795" w:type="dxa"/>
          </w:tcPr>
          <w:p w:rsidR="00DD293F" w:rsidRDefault="008D4BB4" w:rsidP="005A7345">
            <w:r>
              <w:t>4.12%</w:t>
            </w:r>
          </w:p>
        </w:tc>
      </w:tr>
      <w:tr w:rsidR="00DD293F" w:rsidTr="005B797D">
        <w:tc>
          <w:tcPr>
            <w:tcW w:w="5755" w:type="dxa"/>
          </w:tcPr>
          <w:p w:rsidR="00DD293F" w:rsidRDefault="005B797D" w:rsidP="005A7345">
            <w:r>
              <w:t>Net loans and leases as a percent of total assets</w:t>
            </w:r>
          </w:p>
        </w:tc>
        <w:tc>
          <w:tcPr>
            <w:tcW w:w="1800" w:type="dxa"/>
          </w:tcPr>
          <w:p w:rsidR="00DD293F" w:rsidRDefault="008D4BB4" w:rsidP="005A7345">
            <w:r>
              <w:t>74.02%</w:t>
            </w:r>
          </w:p>
        </w:tc>
        <w:tc>
          <w:tcPr>
            <w:tcW w:w="1795" w:type="dxa"/>
          </w:tcPr>
          <w:p w:rsidR="00DD293F" w:rsidRDefault="008D4BB4" w:rsidP="005A7345">
            <w:r>
              <w:t>80.83%</w:t>
            </w:r>
          </w:p>
        </w:tc>
      </w:tr>
      <w:tr w:rsidR="00DD293F" w:rsidTr="005B797D">
        <w:tc>
          <w:tcPr>
            <w:tcW w:w="5755" w:type="dxa"/>
          </w:tcPr>
          <w:p w:rsidR="00DD293F" w:rsidRDefault="005B797D" w:rsidP="005A7345">
            <w:r>
              <w:t>Total deposits as a percentage of total assets</w:t>
            </w:r>
          </w:p>
        </w:tc>
        <w:tc>
          <w:tcPr>
            <w:tcW w:w="1800" w:type="dxa"/>
          </w:tcPr>
          <w:p w:rsidR="00DD293F" w:rsidRDefault="00D66930" w:rsidP="005A7345">
            <w:r>
              <w:t>79.89%</w:t>
            </w:r>
          </w:p>
        </w:tc>
        <w:tc>
          <w:tcPr>
            <w:tcW w:w="1795" w:type="dxa"/>
          </w:tcPr>
          <w:p w:rsidR="00DD293F" w:rsidRDefault="00D66930" w:rsidP="005A7345">
            <w:r>
              <w:t>78.34%</w:t>
            </w:r>
          </w:p>
        </w:tc>
      </w:tr>
      <w:tr w:rsidR="00DD293F" w:rsidTr="005B797D">
        <w:tc>
          <w:tcPr>
            <w:tcW w:w="5755" w:type="dxa"/>
          </w:tcPr>
          <w:p w:rsidR="00DD293F" w:rsidRDefault="005B797D" w:rsidP="005A7345">
            <w:r>
              <w:t>Total liabilities as a percentage of total assets</w:t>
            </w:r>
          </w:p>
        </w:tc>
        <w:tc>
          <w:tcPr>
            <w:tcW w:w="1800" w:type="dxa"/>
          </w:tcPr>
          <w:p w:rsidR="00DD293F" w:rsidRDefault="00DB7585" w:rsidP="005A7345">
            <w:r>
              <w:t>82.34%</w:t>
            </w:r>
          </w:p>
        </w:tc>
        <w:tc>
          <w:tcPr>
            <w:tcW w:w="1795" w:type="dxa"/>
          </w:tcPr>
          <w:p w:rsidR="00DD293F" w:rsidRDefault="00DB7585" w:rsidP="005A7345">
            <w:r>
              <w:t>81.48%</w:t>
            </w:r>
          </w:p>
        </w:tc>
      </w:tr>
      <w:tr w:rsidR="00DD293F" w:rsidTr="005B797D">
        <w:tc>
          <w:tcPr>
            <w:tcW w:w="5755" w:type="dxa"/>
          </w:tcPr>
          <w:p w:rsidR="00DD293F" w:rsidRDefault="005B797D" w:rsidP="005A7345">
            <w:r>
              <w:t>Total bank capital as a percentage of total assets</w:t>
            </w:r>
          </w:p>
        </w:tc>
        <w:tc>
          <w:tcPr>
            <w:tcW w:w="1800" w:type="dxa"/>
          </w:tcPr>
          <w:p w:rsidR="00DD293F" w:rsidRDefault="00583AAD" w:rsidP="005A7345">
            <w:r>
              <w:t>17.66%</w:t>
            </w:r>
          </w:p>
        </w:tc>
        <w:tc>
          <w:tcPr>
            <w:tcW w:w="1795" w:type="dxa"/>
          </w:tcPr>
          <w:p w:rsidR="00DD293F" w:rsidRDefault="00583AAD" w:rsidP="005A7345">
            <w:r>
              <w:t>18.52%</w:t>
            </w:r>
          </w:p>
        </w:tc>
      </w:tr>
    </w:tbl>
    <w:p w:rsidR="00330824" w:rsidRDefault="00741151" w:rsidP="00390F6D">
      <w:pPr>
        <w:spacing w:after="0" w:line="480" w:lineRule="auto"/>
      </w:pPr>
      <w:r>
        <w:t xml:space="preserve">Source: </w:t>
      </w:r>
      <w:sdt>
        <w:sdtPr>
          <w:id w:val="2049094591"/>
          <w:citation/>
        </w:sdtPr>
        <w:sdtEndPr/>
        <w:sdtContent>
          <w:r>
            <w:fldChar w:fldCharType="begin"/>
          </w:r>
          <w:r>
            <w:instrText xml:space="preserve"> CITATION Uni183 \l 1033 </w:instrText>
          </w:r>
          <w:r>
            <w:fldChar w:fldCharType="separate"/>
          </w:r>
          <w:r>
            <w:rPr>
              <w:noProof/>
            </w:rPr>
            <w:t>(Uniform Bank Performance Report, 2018)</w:t>
          </w:r>
          <w:r>
            <w:fldChar w:fldCharType="end"/>
          </w:r>
        </w:sdtContent>
      </w:sdt>
      <w:r w:rsidR="005A7345">
        <w:br/>
      </w:r>
      <w:r w:rsidR="005A7345" w:rsidRPr="000E619D">
        <w:rPr>
          <w:b/>
        </w:rPr>
        <w:t>Question 2</w:t>
      </w:r>
    </w:p>
    <w:p w:rsidR="00D524E1" w:rsidRDefault="00D524E1" w:rsidP="00390F6D">
      <w:pPr>
        <w:spacing w:after="0" w:line="480" w:lineRule="auto"/>
      </w:pPr>
      <w:r>
        <w:tab/>
        <w:t>One of the major shifts is experienced in the investments as a percentage of total assets between the y</w:t>
      </w:r>
      <w:r w:rsidR="00290BC0">
        <w:t>ear 2016 and 2017. One American</w:t>
      </w:r>
      <w:r>
        <w:t xml:space="preserve"> Bank increased its investments as a percentage of total assets between the two years by more than double, from 5.59% in 2016 to 12.52% in 2017.</w:t>
      </w:r>
    </w:p>
    <w:p w:rsidR="005A7345" w:rsidRPr="000E619D" w:rsidRDefault="005A7345" w:rsidP="00390F6D">
      <w:pPr>
        <w:spacing w:after="0" w:line="480" w:lineRule="auto"/>
        <w:rPr>
          <w:b/>
        </w:rPr>
      </w:pPr>
      <w:r w:rsidRPr="000E619D">
        <w:rPr>
          <w:b/>
        </w:rPr>
        <w:t>Question 3</w:t>
      </w:r>
    </w:p>
    <w:tbl>
      <w:tblPr>
        <w:tblStyle w:val="TableGridLight"/>
        <w:tblW w:w="8384" w:type="dxa"/>
        <w:tblLook w:val="04A0" w:firstRow="1" w:lastRow="0" w:firstColumn="1" w:lastColumn="0" w:noHBand="0" w:noVBand="1"/>
      </w:tblPr>
      <w:tblGrid>
        <w:gridCol w:w="6037"/>
        <w:gridCol w:w="1173"/>
        <w:gridCol w:w="1174"/>
      </w:tblGrid>
      <w:tr w:rsidR="0038572F" w:rsidRPr="0038572F" w:rsidTr="00CF7476">
        <w:trPr>
          <w:trHeight w:val="256"/>
        </w:trPr>
        <w:tc>
          <w:tcPr>
            <w:tcW w:w="8384" w:type="dxa"/>
            <w:gridSpan w:val="3"/>
            <w:noWrap/>
            <w:hideMark/>
          </w:tcPr>
          <w:p w:rsidR="0038572F" w:rsidRPr="0038572F" w:rsidRDefault="0038572F" w:rsidP="003857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8572F">
              <w:rPr>
                <w:rFonts w:ascii="Calibri" w:eastAsia="Times New Roman" w:hAnsi="Calibri" w:cs="Calibri"/>
                <w:b/>
                <w:bCs/>
                <w:color w:val="000000"/>
              </w:rPr>
              <w:t>Securities Mix</w:t>
            </w:r>
          </w:p>
        </w:tc>
      </w:tr>
      <w:tr w:rsidR="0038572F" w:rsidRPr="0038572F" w:rsidTr="00CF7476">
        <w:trPr>
          <w:trHeight w:val="256"/>
        </w:trPr>
        <w:tc>
          <w:tcPr>
            <w:tcW w:w="8384" w:type="dxa"/>
            <w:gridSpan w:val="3"/>
            <w:noWrap/>
            <w:hideMark/>
          </w:tcPr>
          <w:p w:rsidR="0038572F" w:rsidRPr="0038572F" w:rsidRDefault="0038572F" w:rsidP="003857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8572F">
              <w:rPr>
                <w:rFonts w:ascii="Calibri" w:eastAsia="Times New Roman" w:hAnsi="Calibri" w:cs="Calibri"/>
                <w:b/>
                <w:bCs/>
                <w:color w:val="000000"/>
              </w:rPr>
              <w:t>% Total Securities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8572F">
              <w:rPr>
                <w:rFonts w:ascii="Calibri" w:eastAsia="Times New Roman" w:hAnsi="Calibri" w:cs="Calibri"/>
                <w:b/>
                <w:bCs/>
                <w:color w:val="000000"/>
              </w:rPr>
              <w:t>2017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8572F">
              <w:rPr>
                <w:rFonts w:ascii="Calibri" w:eastAsia="Times New Roman" w:hAnsi="Calibri" w:cs="Calibri"/>
                <w:b/>
                <w:bCs/>
                <w:color w:val="000000"/>
              </w:rPr>
              <w:t>2016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 xml:space="preserve">  US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Treas</w:t>
            </w:r>
            <w:proofErr w:type="spellEnd"/>
            <w:r w:rsidRPr="0038572F">
              <w:rPr>
                <w:rFonts w:ascii="Calibri" w:eastAsia="Times New Roman" w:hAnsi="Calibri" w:cs="Calibri"/>
                <w:color w:val="000000"/>
              </w:rPr>
              <w:t xml:space="preserve"> &amp;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Govt</w:t>
            </w:r>
            <w:proofErr w:type="spellEnd"/>
            <w:r w:rsidRPr="0038572F">
              <w:rPr>
                <w:rFonts w:ascii="Calibri" w:eastAsia="Times New Roman" w:hAnsi="Calibri" w:cs="Calibri"/>
                <w:color w:val="000000"/>
              </w:rPr>
              <w:t xml:space="preserve"> Agencies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64.86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60.23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  Municipal Securities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5.98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8.86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 xml:space="preserve">  Pass-Through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Mtg</w:t>
            </w:r>
            <w:proofErr w:type="spellEnd"/>
            <w:r w:rsidRPr="0038572F">
              <w:rPr>
                <w:rFonts w:ascii="Calibri" w:eastAsia="Times New Roman" w:hAnsi="Calibri" w:cs="Calibri"/>
                <w:color w:val="000000"/>
              </w:rPr>
              <w:t xml:space="preserve"> Backed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Secs</w:t>
            </w:r>
            <w:proofErr w:type="spellEnd"/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27.4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28.98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 xml:space="preserve">  CMO &amp; REMIC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Mtg</w:t>
            </w:r>
            <w:proofErr w:type="spellEnd"/>
            <w:r w:rsidRPr="0038572F">
              <w:rPr>
                <w:rFonts w:ascii="Calibri" w:eastAsia="Times New Roman" w:hAnsi="Calibri" w:cs="Calibri"/>
                <w:color w:val="000000"/>
              </w:rPr>
              <w:t xml:space="preserve"> Backed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Secs</w:t>
            </w:r>
            <w:proofErr w:type="spellEnd"/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1.77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1.93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 xml:space="preserve">  Commercial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Mtg</w:t>
            </w:r>
            <w:proofErr w:type="spellEnd"/>
            <w:r w:rsidRPr="0038572F">
              <w:rPr>
                <w:rFonts w:ascii="Calibri" w:eastAsia="Times New Roman" w:hAnsi="Calibri" w:cs="Calibri"/>
                <w:color w:val="000000"/>
              </w:rPr>
              <w:t xml:space="preserve"> Back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Secs</w:t>
            </w:r>
            <w:proofErr w:type="spellEnd"/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  Asset Backed Securities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  Structured Financial Products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  Other Domestic Debt Secs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  Foreign Debt Securities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  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Inv</w:t>
            </w:r>
            <w:proofErr w:type="spellEnd"/>
            <w:r w:rsidRPr="0038572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Mut</w:t>
            </w:r>
            <w:proofErr w:type="spellEnd"/>
            <w:r w:rsidRPr="0038572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Fnd</w:t>
            </w:r>
            <w:proofErr w:type="spellEnd"/>
            <w:r w:rsidRPr="0038572F">
              <w:rPr>
                <w:rFonts w:ascii="Calibri" w:eastAsia="Times New Roman" w:hAnsi="Calibri" w:cs="Calibri"/>
                <w:color w:val="000000"/>
              </w:rPr>
              <w:t xml:space="preserve"> &amp;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Oth</w:t>
            </w:r>
            <w:proofErr w:type="spellEnd"/>
            <w:r w:rsidRPr="0038572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38572F">
              <w:rPr>
                <w:rFonts w:ascii="Calibri" w:eastAsia="Times New Roman" w:hAnsi="Calibri" w:cs="Calibri"/>
                <w:color w:val="000000"/>
              </w:rPr>
              <w:t>Mktbl</w:t>
            </w:r>
            <w:proofErr w:type="spellEnd"/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8572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38572F" w:rsidRPr="0038572F" w:rsidTr="00CF7476">
        <w:trPr>
          <w:trHeight w:val="256"/>
        </w:trPr>
        <w:tc>
          <w:tcPr>
            <w:tcW w:w="6037" w:type="dxa"/>
            <w:noWrap/>
            <w:hideMark/>
          </w:tcPr>
          <w:p w:rsidR="0038572F" w:rsidRPr="0038572F" w:rsidRDefault="0038572F" w:rsidP="0038572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8572F">
              <w:rPr>
                <w:rFonts w:ascii="Calibri" w:eastAsia="Times New Roman" w:hAnsi="Calibri" w:cs="Calibri"/>
                <w:b/>
                <w:bCs/>
                <w:color w:val="000000"/>
              </w:rPr>
              <w:t>    Total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8572F">
              <w:rPr>
                <w:rFonts w:ascii="Calibri" w:eastAsia="Times New Roman" w:hAnsi="Calibri" w:cs="Calibri"/>
                <w:b/>
                <w:bCs/>
                <w:color w:val="000000"/>
              </w:rPr>
              <w:t>100</w:t>
            </w:r>
          </w:p>
        </w:tc>
        <w:tc>
          <w:tcPr>
            <w:tcW w:w="1173" w:type="dxa"/>
            <w:noWrap/>
            <w:hideMark/>
          </w:tcPr>
          <w:p w:rsidR="0038572F" w:rsidRPr="0038572F" w:rsidRDefault="0038572F" w:rsidP="0038572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8572F">
              <w:rPr>
                <w:rFonts w:ascii="Calibri" w:eastAsia="Times New Roman" w:hAnsi="Calibri" w:cs="Calibri"/>
                <w:b/>
                <w:bCs/>
                <w:color w:val="000000"/>
              </w:rPr>
              <w:t>100</w:t>
            </w:r>
          </w:p>
        </w:tc>
      </w:tr>
    </w:tbl>
    <w:p w:rsidR="00F51D20" w:rsidRDefault="008D3DAB" w:rsidP="00390F6D">
      <w:pPr>
        <w:spacing w:after="0" w:line="480" w:lineRule="auto"/>
      </w:pPr>
      <w:r>
        <w:t xml:space="preserve">Source: </w:t>
      </w:r>
      <w:sdt>
        <w:sdtPr>
          <w:id w:val="-436441985"/>
          <w:citation/>
        </w:sdtPr>
        <w:sdtEndPr/>
        <w:sdtContent>
          <w:r>
            <w:fldChar w:fldCharType="begin"/>
          </w:r>
          <w:r>
            <w:instrText xml:space="preserve"> CITATION Uni183 \l 1033 </w:instrText>
          </w:r>
          <w:r>
            <w:fldChar w:fldCharType="separate"/>
          </w:r>
          <w:r>
            <w:rPr>
              <w:noProof/>
            </w:rPr>
            <w:t>(Uniform Bank Performance Report, 2018)</w:t>
          </w:r>
          <w:r>
            <w:fldChar w:fldCharType="end"/>
          </w:r>
        </w:sdtContent>
      </w:sdt>
    </w:p>
    <w:p w:rsidR="00EA4AAD" w:rsidRDefault="00EA4AAD" w:rsidP="00390F6D">
      <w:pPr>
        <w:spacing w:after="0" w:line="480" w:lineRule="auto"/>
      </w:pPr>
      <w:r>
        <w:tab/>
        <w:t>There are no major shifts in the securities mix over the past year.</w:t>
      </w:r>
    </w:p>
    <w:p w:rsidR="005A7345" w:rsidRPr="000E619D" w:rsidRDefault="005A7345" w:rsidP="00390F6D">
      <w:pPr>
        <w:spacing w:after="0" w:line="480" w:lineRule="auto"/>
        <w:rPr>
          <w:b/>
        </w:rPr>
      </w:pPr>
      <w:r w:rsidRPr="000E619D">
        <w:rPr>
          <w:b/>
        </w:rPr>
        <w:t>Question 4</w:t>
      </w:r>
    </w:p>
    <w:tbl>
      <w:tblPr>
        <w:tblStyle w:val="TableGridLight"/>
        <w:tblW w:w="8395" w:type="dxa"/>
        <w:tblLook w:val="04A0" w:firstRow="1" w:lastRow="0" w:firstColumn="1" w:lastColumn="0" w:noHBand="0" w:noVBand="1"/>
      </w:tblPr>
      <w:tblGrid>
        <w:gridCol w:w="4673"/>
        <w:gridCol w:w="782"/>
        <w:gridCol w:w="1078"/>
        <w:gridCol w:w="782"/>
        <w:gridCol w:w="1080"/>
      </w:tblGrid>
      <w:tr w:rsidR="004C357D" w:rsidRPr="004C357D" w:rsidTr="00B03A96">
        <w:trPr>
          <w:trHeight w:val="287"/>
        </w:trPr>
        <w:tc>
          <w:tcPr>
            <w:tcW w:w="8395" w:type="dxa"/>
            <w:gridSpan w:val="5"/>
            <w:noWrap/>
            <w:hideMark/>
          </w:tcPr>
          <w:p w:rsidR="004C357D" w:rsidRPr="004C357D" w:rsidRDefault="004C357D" w:rsidP="004C357D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4C357D">
              <w:rPr>
                <w:rFonts w:ascii="Calibri" w:eastAsia="Times New Roman" w:hAnsi="Calibri" w:cs="Calibri"/>
                <w:b/>
                <w:color w:val="000000"/>
              </w:rPr>
              <w:t>Deposit Mix</w:t>
            </w:r>
          </w:p>
        </w:tc>
      </w:tr>
      <w:tr w:rsidR="004C357D" w:rsidRPr="004C357D" w:rsidTr="00B03A96">
        <w:trPr>
          <w:trHeight w:val="287"/>
        </w:trPr>
        <w:tc>
          <w:tcPr>
            <w:tcW w:w="4673" w:type="dxa"/>
            <w:noWrap/>
            <w:hideMark/>
          </w:tcPr>
          <w:p w:rsidR="004C357D" w:rsidRPr="004C357D" w:rsidRDefault="004C357D" w:rsidP="004C357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4C357D">
              <w:rPr>
                <w:rFonts w:ascii="Calibri" w:eastAsia="Times New Roman" w:hAnsi="Calibri" w:cs="Calibri"/>
                <w:b/>
                <w:color w:val="000000"/>
              </w:rPr>
              <w:t>2017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4C357D">
              <w:rPr>
                <w:rFonts w:ascii="Calibri" w:eastAsia="Times New Roman" w:hAnsi="Calibri" w:cs="Calibri"/>
                <w:b/>
                <w:color w:val="000000"/>
              </w:rPr>
              <w:t>%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4C357D">
              <w:rPr>
                <w:rFonts w:ascii="Calibri" w:eastAsia="Times New Roman" w:hAnsi="Calibri" w:cs="Calibri"/>
                <w:b/>
                <w:color w:val="000000"/>
              </w:rPr>
              <w:t>2016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4C357D">
              <w:rPr>
                <w:rFonts w:ascii="Calibri" w:eastAsia="Times New Roman" w:hAnsi="Calibri" w:cs="Calibri"/>
                <w:b/>
                <w:color w:val="000000"/>
              </w:rPr>
              <w:t>%</w:t>
            </w:r>
          </w:p>
        </w:tc>
      </w:tr>
      <w:tr w:rsidR="004C357D" w:rsidRPr="004C357D" w:rsidTr="00B03A96">
        <w:trPr>
          <w:trHeight w:val="287"/>
        </w:trPr>
        <w:tc>
          <w:tcPr>
            <w:tcW w:w="4673" w:type="dxa"/>
            <w:noWrap/>
            <w:hideMark/>
          </w:tcPr>
          <w:p w:rsidR="004C357D" w:rsidRPr="004C357D" w:rsidRDefault="004C357D" w:rsidP="004C357D">
            <w:pPr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Demand Deposits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16.83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20.99%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15.56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19.72%</w:t>
            </w:r>
          </w:p>
        </w:tc>
      </w:tr>
      <w:tr w:rsidR="004C357D" w:rsidRPr="004C357D" w:rsidTr="00B03A96">
        <w:trPr>
          <w:trHeight w:val="287"/>
        </w:trPr>
        <w:tc>
          <w:tcPr>
            <w:tcW w:w="4673" w:type="dxa"/>
            <w:noWrap/>
            <w:hideMark/>
          </w:tcPr>
          <w:p w:rsidR="004C357D" w:rsidRPr="004C357D" w:rsidRDefault="004C357D" w:rsidP="004C357D">
            <w:pPr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lastRenderedPageBreak/>
              <w:t>All NOW &amp; ATS Accounts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9.97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12.44%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9.82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12.44%</w:t>
            </w:r>
          </w:p>
        </w:tc>
      </w:tr>
      <w:tr w:rsidR="004C357D" w:rsidRPr="004C357D" w:rsidTr="00B03A96">
        <w:trPr>
          <w:trHeight w:val="287"/>
        </w:trPr>
        <w:tc>
          <w:tcPr>
            <w:tcW w:w="4673" w:type="dxa"/>
            <w:noWrap/>
            <w:hideMark/>
          </w:tcPr>
          <w:p w:rsidR="004C357D" w:rsidRPr="004C357D" w:rsidRDefault="004C357D" w:rsidP="004C357D">
            <w:pPr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Money Market Deposit Accounts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15.9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19.83%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18.3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23.19%</w:t>
            </w:r>
          </w:p>
        </w:tc>
      </w:tr>
      <w:tr w:rsidR="004C357D" w:rsidRPr="004C357D" w:rsidTr="00B03A96">
        <w:trPr>
          <w:trHeight w:val="287"/>
        </w:trPr>
        <w:tc>
          <w:tcPr>
            <w:tcW w:w="4673" w:type="dxa"/>
            <w:noWrap/>
            <w:hideMark/>
          </w:tcPr>
          <w:p w:rsidR="004C357D" w:rsidRPr="004C357D" w:rsidRDefault="004C357D" w:rsidP="004C357D">
            <w:pPr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Other Savings Deposits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5.2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6.49%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4.95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6.27%</w:t>
            </w:r>
          </w:p>
        </w:tc>
      </w:tr>
      <w:tr w:rsidR="004C357D" w:rsidRPr="004C357D" w:rsidTr="00B03A96">
        <w:trPr>
          <w:trHeight w:val="287"/>
        </w:trPr>
        <w:tc>
          <w:tcPr>
            <w:tcW w:w="4673" w:type="dxa"/>
            <w:noWrap/>
            <w:hideMark/>
          </w:tcPr>
          <w:p w:rsidR="004C357D" w:rsidRPr="004C357D" w:rsidRDefault="004C357D" w:rsidP="004C357D">
            <w:pPr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Time Deps At or Below Insurance Limit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27.68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34.53%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27.03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34.25%</w:t>
            </w:r>
          </w:p>
        </w:tc>
      </w:tr>
      <w:tr w:rsidR="004C357D" w:rsidRPr="004C357D" w:rsidTr="00B03A96">
        <w:trPr>
          <w:trHeight w:val="287"/>
        </w:trPr>
        <w:tc>
          <w:tcPr>
            <w:tcW w:w="4673" w:type="dxa"/>
            <w:noWrap/>
            <w:hideMark/>
          </w:tcPr>
          <w:p w:rsidR="004C357D" w:rsidRPr="004C357D" w:rsidRDefault="004C357D" w:rsidP="004C357D">
            <w:pPr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Less: Fully Insured Brokered Deposits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2.65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3.31%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1.84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2.33%</w:t>
            </w:r>
          </w:p>
        </w:tc>
      </w:tr>
      <w:tr w:rsidR="004C357D" w:rsidRPr="004C357D" w:rsidTr="00B03A96">
        <w:trPr>
          <w:trHeight w:val="287"/>
        </w:trPr>
        <w:tc>
          <w:tcPr>
            <w:tcW w:w="4673" w:type="dxa"/>
            <w:noWrap/>
            <w:hideMark/>
          </w:tcPr>
          <w:p w:rsidR="004C357D" w:rsidRPr="004C357D" w:rsidRDefault="004C357D" w:rsidP="004C357D">
            <w:pPr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  Core Deposits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72.93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90.97%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73.82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93.55%</w:t>
            </w:r>
          </w:p>
        </w:tc>
      </w:tr>
      <w:tr w:rsidR="004C357D" w:rsidRPr="004C357D" w:rsidTr="00B03A96">
        <w:trPr>
          <w:trHeight w:val="287"/>
        </w:trPr>
        <w:tc>
          <w:tcPr>
            <w:tcW w:w="4673" w:type="dxa"/>
            <w:noWrap/>
            <w:hideMark/>
          </w:tcPr>
          <w:p w:rsidR="004C357D" w:rsidRPr="004C357D" w:rsidRDefault="004C357D" w:rsidP="004C357D">
            <w:pPr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Fully Insured Brokered Deposits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2.65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3.31%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1.84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2.33%</w:t>
            </w:r>
          </w:p>
        </w:tc>
      </w:tr>
      <w:tr w:rsidR="004C357D" w:rsidRPr="004C357D" w:rsidTr="00B03A96">
        <w:trPr>
          <w:trHeight w:val="287"/>
        </w:trPr>
        <w:tc>
          <w:tcPr>
            <w:tcW w:w="4673" w:type="dxa"/>
            <w:noWrap/>
            <w:hideMark/>
          </w:tcPr>
          <w:p w:rsidR="004C357D" w:rsidRPr="004C357D" w:rsidRDefault="004C357D" w:rsidP="004C357D">
            <w:pPr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Time Deps Above Insurance Limit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4.59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5.73%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3.25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C357D">
              <w:rPr>
                <w:rFonts w:ascii="Calibri" w:eastAsia="Times New Roman" w:hAnsi="Calibri" w:cs="Calibri"/>
                <w:color w:val="000000"/>
              </w:rPr>
              <w:t>4.12%</w:t>
            </w:r>
          </w:p>
        </w:tc>
      </w:tr>
      <w:tr w:rsidR="004C357D" w:rsidRPr="004C357D" w:rsidTr="00B03A96">
        <w:trPr>
          <w:trHeight w:val="287"/>
        </w:trPr>
        <w:tc>
          <w:tcPr>
            <w:tcW w:w="4673" w:type="dxa"/>
            <w:noWrap/>
            <w:hideMark/>
          </w:tcPr>
          <w:p w:rsidR="004C357D" w:rsidRPr="004C357D" w:rsidRDefault="004C357D" w:rsidP="004C357D">
            <w:pPr>
              <w:rPr>
                <w:rFonts w:ascii="Calibri" w:eastAsia="Times New Roman" w:hAnsi="Calibri" w:cs="Calibri"/>
                <w:b/>
                <w:color w:val="000000"/>
              </w:rPr>
            </w:pPr>
            <w:r w:rsidRPr="004C357D">
              <w:rPr>
                <w:rFonts w:ascii="Calibri" w:eastAsia="Times New Roman" w:hAnsi="Calibri" w:cs="Calibri"/>
                <w:b/>
                <w:color w:val="000000"/>
              </w:rPr>
              <w:t>  Total Deposits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4C357D">
              <w:rPr>
                <w:rFonts w:ascii="Calibri" w:eastAsia="Times New Roman" w:hAnsi="Calibri" w:cs="Calibri"/>
                <w:b/>
                <w:color w:val="000000"/>
              </w:rPr>
              <w:t>80.17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4C357D">
              <w:rPr>
                <w:rFonts w:ascii="Calibri" w:eastAsia="Times New Roman" w:hAnsi="Calibri" w:cs="Calibri"/>
                <w:b/>
                <w:color w:val="000000"/>
              </w:rPr>
              <w:t>100.00%</w:t>
            </w:r>
          </w:p>
        </w:tc>
        <w:tc>
          <w:tcPr>
            <w:tcW w:w="782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4C357D">
              <w:rPr>
                <w:rFonts w:ascii="Calibri" w:eastAsia="Times New Roman" w:hAnsi="Calibri" w:cs="Calibri"/>
                <w:b/>
                <w:color w:val="000000"/>
              </w:rPr>
              <w:t>78.91</w:t>
            </w:r>
          </w:p>
        </w:tc>
        <w:tc>
          <w:tcPr>
            <w:tcW w:w="1078" w:type="dxa"/>
            <w:noWrap/>
            <w:hideMark/>
          </w:tcPr>
          <w:p w:rsidR="004C357D" w:rsidRPr="004C357D" w:rsidRDefault="004C357D" w:rsidP="004C357D">
            <w:pPr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4C357D">
              <w:rPr>
                <w:rFonts w:ascii="Calibri" w:eastAsia="Times New Roman" w:hAnsi="Calibri" w:cs="Calibri"/>
                <w:b/>
                <w:color w:val="000000"/>
              </w:rPr>
              <w:t>100.00%</w:t>
            </w:r>
          </w:p>
        </w:tc>
      </w:tr>
    </w:tbl>
    <w:p w:rsidR="00EA4AAD" w:rsidRDefault="001E11C8" w:rsidP="00390F6D">
      <w:pPr>
        <w:spacing w:after="0" w:line="480" w:lineRule="auto"/>
      </w:pPr>
      <w:r>
        <w:t>Source:</w:t>
      </w:r>
      <w:r>
        <w:tab/>
      </w:r>
      <w:sdt>
        <w:sdtPr>
          <w:id w:val="-1464807765"/>
          <w:citation/>
        </w:sdtPr>
        <w:sdtEndPr/>
        <w:sdtContent>
          <w:r>
            <w:fldChar w:fldCharType="begin"/>
          </w:r>
          <w:r>
            <w:instrText xml:space="preserve"> CITATION Uni183 \l 1033 </w:instrText>
          </w:r>
          <w:r>
            <w:fldChar w:fldCharType="separate"/>
          </w:r>
          <w:r>
            <w:rPr>
              <w:noProof/>
            </w:rPr>
            <w:t>(Uniform Bank Performance Report, 2018)</w:t>
          </w:r>
          <w:r>
            <w:fldChar w:fldCharType="end"/>
          </w:r>
        </w:sdtContent>
      </w:sdt>
    </w:p>
    <w:p w:rsidR="001E11C8" w:rsidRDefault="001E11C8" w:rsidP="00390F6D">
      <w:pPr>
        <w:spacing w:after="0" w:line="480" w:lineRule="auto"/>
      </w:pPr>
      <w:r>
        <w:tab/>
      </w:r>
      <w:r w:rsidR="00485175">
        <w:t xml:space="preserve">Money </w:t>
      </w:r>
      <w:r w:rsidR="006B4E88">
        <w:t>market deposit accounts decline from 23.19% of the total deposits in 2016 to 19.83% of the total deposits in 2017.</w:t>
      </w:r>
    </w:p>
    <w:p w:rsidR="005A7345" w:rsidRDefault="005A7345" w:rsidP="00390F6D">
      <w:pPr>
        <w:spacing w:after="0" w:line="480" w:lineRule="auto"/>
      </w:pPr>
      <w:r>
        <w:t>Question 5</w:t>
      </w:r>
    </w:p>
    <w:p w:rsidR="00390F6D" w:rsidRDefault="00390F6D" w:rsidP="005A7345">
      <w:pPr>
        <w:spacing w:after="0"/>
      </w:pPr>
      <w:r w:rsidRPr="00390F6D">
        <w:rPr>
          <w:noProof/>
        </w:rPr>
        <w:drawing>
          <wp:inline distT="0" distB="0" distL="0" distR="0">
            <wp:extent cx="4200525" cy="178093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526" cy="181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F6D" w:rsidRDefault="00390F6D" w:rsidP="00390F6D">
      <w:pPr>
        <w:spacing w:after="0" w:line="480" w:lineRule="auto"/>
      </w:pPr>
      <w:r>
        <w:t xml:space="preserve">Source: </w:t>
      </w:r>
      <w:sdt>
        <w:sdtPr>
          <w:id w:val="-1451468235"/>
          <w:citation/>
        </w:sdtPr>
        <w:sdtEndPr/>
        <w:sdtContent>
          <w:r>
            <w:fldChar w:fldCharType="begin"/>
          </w:r>
          <w:r>
            <w:instrText xml:space="preserve"> CITATION Uni183 \l 1033 </w:instrText>
          </w:r>
          <w:r>
            <w:fldChar w:fldCharType="separate"/>
          </w:r>
          <w:r>
            <w:rPr>
              <w:noProof/>
            </w:rPr>
            <w:t>(Uniform Bank Performance Report, 2018)</w:t>
          </w:r>
          <w:r>
            <w:fldChar w:fldCharType="end"/>
          </w:r>
        </w:sdtContent>
      </w:sdt>
    </w:p>
    <w:p w:rsidR="00390F6D" w:rsidRDefault="00390F6D" w:rsidP="00390F6D">
      <w:pPr>
        <w:spacing w:after="0" w:line="480" w:lineRule="auto"/>
      </w:pPr>
      <w:r>
        <w:tab/>
        <w:t xml:space="preserve">From this information, we note that fully insured brokered deposits increase by 44.02% followed by time deposits above the insurance limit, which also increase by 41.23%. Similarly, money market deposit accounts decline the most at -13.11%. </w:t>
      </w:r>
    </w:p>
    <w:p w:rsidR="00390F6D" w:rsidRDefault="00390F6D" w:rsidP="00390F6D">
      <w:pPr>
        <w:spacing w:after="0" w:line="480" w:lineRule="auto"/>
      </w:pPr>
      <w:r>
        <w:br w:type="page"/>
      </w:r>
    </w:p>
    <w:p w:rsidR="00390F6D" w:rsidRDefault="00390F6D" w:rsidP="00390F6D">
      <w:pPr>
        <w:spacing w:after="0" w:line="480" w:lineRule="auto"/>
        <w:jc w:val="center"/>
      </w:pPr>
      <w:r>
        <w:lastRenderedPageBreak/>
        <w:t>Reference</w:t>
      </w:r>
    </w:p>
    <w:p w:rsidR="00390F6D" w:rsidRDefault="00390F6D" w:rsidP="00390F6D">
      <w:pPr>
        <w:pStyle w:val="Bibliography"/>
        <w:spacing w:after="0" w:line="480" w:lineRule="auto"/>
        <w:ind w:left="720" w:hanging="720"/>
        <w:rPr>
          <w:noProof/>
          <w:sz w:val="24"/>
          <w:szCs w:val="24"/>
        </w:rPr>
      </w:pPr>
      <w:r>
        <w:fldChar w:fldCharType="begin"/>
      </w:r>
      <w:r>
        <w:instrText xml:space="preserve"> BIBLIOGRAPHY  \l 1033 </w:instrText>
      </w:r>
      <w:r>
        <w:fldChar w:fldCharType="separate"/>
      </w:r>
      <w:r>
        <w:rPr>
          <w:i/>
          <w:iCs/>
          <w:noProof/>
        </w:rPr>
        <w:t>Uniform Bank Performance Report.</w:t>
      </w:r>
      <w:r>
        <w:rPr>
          <w:noProof/>
        </w:rPr>
        <w:t xml:space="preserve"> (2018, November). Retrieved from Federal Deposit Insurance Corporation: https://cdr.ffiec.gov/public/Reports/UbprReport.aspx?rptCycleIds=105%2c90%2c101%2c86%2c81&amp;rptid=283&amp;idrssd=95051&amp;peerGroupType=&amp;supplemental=</w:t>
      </w:r>
    </w:p>
    <w:p w:rsidR="00390F6D" w:rsidRDefault="00390F6D" w:rsidP="00390F6D">
      <w:pPr>
        <w:spacing w:after="0" w:line="480" w:lineRule="auto"/>
      </w:pPr>
      <w:r>
        <w:fldChar w:fldCharType="end"/>
      </w:r>
    </w:p>
    <w:sectPr w:rsidR="00390F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0FC" w:rsidRDefault="00E150FC" w:rsidP="00A32D90">
      <w:pPr>
        <w:spacing w:after="0" w:line="240" w:lineRule="auto"/>
      </w:pPr>
      <w:r>
        <w:separator/>
      </w:r>
    </w:p>
  </w:endnote>
  <w:endnote w:type="continuationSeparator" w:id="0">
    <w:p w:rsidR="00E150FC" w:rsidRDefault="00E150FC" w:rsidP="00A32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D90" w:rsidRDefault="00A32D9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D90" w:rsidRDefault="00A32D9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D90" w:rsidRDefault="00A32D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0FC" w:rsidRDefault="00E150FC" w:rsidP="00A32D90">
      <w:pPr>
        <w:spacing w:after="0" w:line="240" w:lineRule="auto"/>
      </w:pPr>
      <w:r>
        <w:separator/>
      </w:r>
    </w:p>
  </w:footnote>
  <w:footnote w:type="continuationSeparator" w:id="0">
    <w:p w:rsidR="00E150FC" w:rsidRDefault="00E150FC" w:rsidP="00A32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D90" w:rsidRDefault="00A32D9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D90" w:rsidRDefault="00A32D9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D90" w:rsidRDefault="00A32D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A1B"/>
    <w:rsid w:val="000E619D"/>
    <w:rsid w:val="001E11C8"/>
    <w:rsid w:val="00290BC0"/>
    <w:rsid w:val="002F57B5"/>
    <w:rsid w:val="00330824"/>
    <w:rsid w:val="0038572F"/>
    <w:rsid w:val="00390F6D"/>
    <w:rsid w:val="00485175"/>
    <w:rsid w:val="004C357D"/>
    <w:rsid w:val="005661EC"/>
    <w:rsid w:val="00583AAD"/>
    <w:rsid w:val="005A7345"/>
    <w:rsid w:val="005B797D"/>
    <w:rsid w:val="005D6D37"/>
    <w:rsid w:val="006B4E88"/>
    <w:rsid w:val="00741151"/>
    <w:rsid w:val="00757EE9"/>
    <w:rsid w:val="00872E6B"/>
    <w:rsid w:val="008D3DAB"/>
    <w:rsid w:val="008D4BB4"/>
    <w:rsid w:val="009E3B61"/>
    <w:rsid w:val="00A161A8"/>
    <w:rsid w:val="00A32D90"/>
    <w:rsid w:val="00A514F4"/>
    <w:rsid w:val="00B03A96"/>
    <w:rsid w:val="00B23341"/>
    <w:rsid w:val="00CF7476"/>
    <w:rsid w:val="00D524E1"/>
    <w:rsid w:val="00D66930"/>
    <w:rsid w:val="00DB1A7E"/>
    <w:rsid w:val="00DB7585"/>
    <w:rsid w:val="00DD293F"/>
    <w:rsid w:val="00E150FC"/>
    <w:rsid w:val="00EA4AAD"/>
    <w:rsid w:val="00EC6510"/>
    <w:rsid w:val="00F51D20"/>
    <w:rsid w:val="00FA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2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5B797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390F6D"/>
  </w:style>
  <w:style w:type="paragraph" w:styleId="Header">
    <w:name w:val="header"/>
    <w:basedOn w:val="Normal"/>
    <w:link w:val="HeaderChar"/>
    <w:uiPriority w:val="99"/>
    <w:unhideWhenUsed/>
    <w:rsid w:val="00A32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D90"/>
  </w:style>
  <w:style w:type="paragraph" w:styleId="Footer">
    <w:name w:val="footer"/>
    <w:basedOn w:val="Normal"/>
    <w:link w:val="FooterChar"/>
    <w:uiPriority w:val="99"/>
    <w:unhideWhenUsed/>
    <w:rsid w:val="00A32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Uni183</b:Tag>
    <b:SourceType>DocumentFromInternetSite</b:SourceType>
    <b:Guid>{463825EE-BF66-429D-A21C-C484BB4869DE}</b:Guid>
    <b:Title>Uniform Bank Performance Report</b:Title>
    <b:InternetSiteTitle>Federal Deposit Insurance Corporation</b:InternetSiteTitle>
    <b:Year>2018</b:Year>
    <b:Month>November</b:Month>
    <b:URL>https://cdr.ffiec.gov/public/Reports/UbprReport.aspx?rptCycleIds=105%2c90%2c101%2c86%2c81&amp;rptid=283&amp;idrssd=95051&amp;peerGroupType=&amp;supplemental=</b:URL>
    <b:RefOrder>1</b:RefOrder>
  </b:Source>
</b:Sources>
</file>

<file path=customXml/itemProps1.xml><?xml version="1.0" encoding="utf-8"?>
<ds:datastoreItem xmlns:ds="http://schemas.openxmlformats.org/officeDocument/2006/customXml" ds:itemID="{F2BFDB49-812A-479B-9314-37AE1F0C2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2018-11-13T09:49:00Z</dcterms:created>
  <dcterms:modified xsi:type="dcterms:W3CDTF">2018-11-13T09:49:00Z</dcterms:modified>
</cp:coreProperties>
</file>